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291沧州市归国华侨联合会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233.24</w:t>
            </w:r>
          </w:p>
        </w:tc>
        <w:tc>
          <w:tcPr>
            <w:tcW w:w="4535" w:type="dxa"/>
            <w:vAlign w:val="center"/>
          </w:tcPr>
          <w:p>
            <w:pPr>
              <w:pStyle w:val="13"/>
            </w:pPr>
            <w:r>
              <w:t>一、一般公共服务支出</w:t>
            </w:r>
          </w:p>
        </w:tc>
        <w:tc>
          <w:tcPr>
            <w:tcW w:w="2126" w:type="dxa"/>
            <w:vAlign w:val="center"/>
          </w:tcPr>
          <w:p>
            <w:pPr>
              <w:pStyle w:val="12"/>
            </w:pPr>
            <w:r>
              <w:t>233.24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233.24</w:t>
            </w:r>
          </w:p>
        </w:tc>
        <w:tc>
          <w:tcPr>
            <w:tcW w:w="4535" w:type="dxa"/>
            <w:vAlign w:val="center"/>
          </w:tcPr>
          <w:p>
            <w:pPr>
              <w:pStyle w:val="15"/>
            </w:pPr>
            <w:r>
              <w:t>本年支出合计</w:t>
            </w:r>
          </w:p>
        </w:tc>
        <w:tc>
          <w:tcPr>
            <w:tcW w:w="2126" w:type="dxa"/>
            <w:vAlign w:val="center"/>
          </w:tcPr>
          <w:p>
            <w:pPr>
              <w:pStyle w:val="16"/>
            </w:pPr>
            <w:r>
              <w:t>233.24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233.24</w:t>
            </w:r>
          </w:p>
        </w:tc>
        <w:tc>
          <w:tcPr>
            <w:tcW w:w="4535" w:type="dxa"/>
            <w:vAlign w:val="center"/>
          </w:tcPr>
          <w:p>
            <w:pPr>
              <w:pStyle w:val="15"/>
            </w:pPr>
            <w:r>
              <w:t>支出总计</w:t>
            </w:r>
          </w:p>
        </w:tc>
        <w:tc>
          <w:tcPr>
            <w:tcW w:w="2126" w:type="dxa"/>
            <w:vAlign w:val="center"/>
          </w:tcPr>
          <w:p>
            <w:pPr>
              <w:pStyle w:val="16"/>
            </w:pPr>
            <w:r>
              <w:t>233.24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291沧州市归国华侨联合会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233.24</w:t>
            </w:r>
          </w:p>
        </w:tc>
        <w:tc>
          <w:tcPr>
            <w:tcW w:w="1134" w:type="dxa"/>
            <w:vAlign w:val="center"/>
          </w:tcPr>
          <w:p>
            <w:pPr>
              <w:pStyle w:val="16"/>
            </w:pPr>
            <w:r>
              <w:t>233.24</w:t>
            </w:r>
          </w:p>
        </w:tc>
        <w:tc>
          <w:tcPr>
            <w:tcW w:w="1134" w:type="dxa"/>
            <w:vAlign w:val="center"/>
          </w:tcPr>
          <w:p>
            <w:pPr>
              <w:pStyle w:val="16"/>
            </w:pPr>
            <w:r>
              <w:t>233.24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233.24</w:t>
            </w:r>
          </w:p>
        </w:tc>
        <w:tc>
          <w:tcPr>
            <w:tcW w:w="1134" w:type="dxa"/>
            <w:vAlign w:val="center"/>
          </w:tcPr>
          <w:p>
            <w:pPr>
              <w:pStyle w:val="12"/>
            </w:pPr>
            <w:r>
              <w:t>233.24</w:t>
            </w:r>
          </w:p>
        </w:tc>
        <w:tc>
          <w:tcPr>
            <w:tcW w:w="1134" w:type="dxa"/>
            <w:vAlign w:val="center"/>
          </w:tcPr>
          <w:p>
            <w:pPr>
              <w:pStyle w:val="12"/>
            </w:pPr>
            <w:r>
              <w:t>233.24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9.20</w:t>
            </w:r>
          </w:p>
        </w:tc>
        <w:tc>
          <w:tcPr>
            <w:tcW w:w="1134" w:type="dxa"/>
            <w:vAlign w:val="center"/>
          </w:tcPr>
          <w:p>
            <w:pPr>
              <w:pStyle w:val="12"/>
            </w:pPr>
            <w:r>
              <w:t>9.20</w:t>
            </w:r>
          </w:p>
        </w:tc>
        <w:tc>
          <w:tcPr>
            <w:tcW w:w="1134" w:type="dxa"/>
            <w:vAlign w:val="center"/>
          </w:tcPr>
          <w:p>
            <w:pPr>
              <w:pStyle w:val="12"/>
            </w:pPr>
            <w:r>
              <w:t>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9.20</w:t>
            </w:r>
          </w:p>
        </w:tc>
        <w:tc>
          <w:tcPr>
            <w:tcW w:w="1134" w:type="dxa"/>
            <w:vAlign w:val="center"/>
          </w:tcPr>
          <w:p>
            <w:pPr>
              <w:pStyle w:val="12"/>
            </w:pPr>
            <w:r>
              <w:t>9.20</w:t>
            </w:r>
          </w:p>
        </w:tc>
        <w:tc>
          <w:tcPr>
            <w:tcW w:w="1134" w:type="dxa"/>
            <w:vAlign w:val="center"/>
          </w:tcPr>
          <w:p>
            <w:pPr>
              <w:pStyle w:val="12"/>
            </w:pPr>
            <w:r>
              <w:t>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224.04</w:t>
            </w:r>
          </w:p>
        </w:tc>
        <w:tc>
          <w:tcPr>
            <w:tcW w:w="1134" w:type="dxa"/>
            <w:vAlign w:val="center"/>
          </w:tcPr>
          <w:p>
            <w:pPr>
              <w:pStyle w:val="12"/>
            </w:pPr>
            <w:r>
              <w:t>224.04</w:t>
            </w:r>
          </w:p>
        </w:tc>
        <w:tc>
          <w:tcPr>
            <w:tcW w:w="1134" w:type="dxa"/>
            <w:vAlign w:val="center"/>
          </w:tcPr>
          <w:p>
            <w:pPr>
              <w:pStyle w:val="12"/>
            </w:pPr>
            <w:r>
              <w:t>224.04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2013405</w:t>
            </w:r>
          </w:p>
        </w:tc>
        <w:tc>
          <w:tcPr>
            <w:tcW w:w="1559" w:type="dxa"/>
            <w:vAlign w:val="center"/>
          </w:tcPr>
          <w:p>
            <w:pPr>
              <w:pStyle w:val="13"/>
            </w:pPr>
            <w:r>
              <w:t>华侨事务</w:t>
            </w:r>
          </w:p>
        </w:tc>
        <w:tc>
          <w:tcPr>
            <w:tcW w:w="1134" w:type="dxa"/>
            <w:vAlign w:val="center"/>
          </w:tcPr>
          <w:p>
            <w:pPr>
              <w:pStyle w:val="12"/>
            </w:pPr>
            <w:r>
              <w:t>224.04</w:t>
            </w:r>
          </w:p>
        </w:tc>
        <w:tc>
          <w:tcPr>
            <w:tcW w:w="1134" w:type="dxa"/>
            <w:vAlign w:val="center"/>
          </w:tcPr>
          <w:p>
            <w:pPr>
              <w:pStyle w:val="12"/>
            </w:pPr>
            <w:r>
              <w:t>224.04</w:t>
            </w:r>
          </w:p>
        </w:tc>
        <w:tc>
          <w:tcPr>
            <w:tcW w:w="1134" w:type="dxa"/>
            <w:vAlign w:val="center"/>
          </w:tcPr>
          <w:p>
            <w:pPr>
              <w:pStyle w:val="12"/>
            </w:pPr>
            <w:r>
              <w:t>224.04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291沧州市归国华侨联合会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233.24</w:t>
            </w:r>
          </w:p>
        </w:tc>
        <w:tc>
          <w:tcPr>
            <w:tcW w:w="1361" w:type="dxa"/>
            <w:vAlign w:val="center"/>
          </w:tcPr>
          <w:p>
            <w:pPr>
              <w:pStyle w:val="16"/>
            </w:pPr>
            <w:r>
              <w:t>193.44</w:t>
            </w:r>
          </w:p>
        </w:tc>
        <w:tc>
          <w:tcPr>
            <w:tcW w:w="1361" w:type="dxa"/>
            <w:vAlign w:val="center"/>
          </w:tcPr>
          <w:p>
            <w:pPr>
              <w:pStyle w:val="16"/>
            </w:pPr>
            <w:r>
              <w:t>39.80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233.24</w:t>
            </w:r>
          </w:p>
        </w:tc>
        <w:tc>
          <w:tcPr>
            <w:tcW w:w="1361" w:type="dxa"/>
            <w:vAlign w:val="center"/>
          </w:tcPr>
          <w:p>
            <w:pPr>
              <w:pStyle w:val="12"/>
            </w:pPr>
            <w:r>
              <w:t>193.44</w:t>
            </w:r>
          </w:p>
        </w:tc>
        <w:tc>
          <w:tcPr>
            <w:tcW w:w="1361" w:type="dxa"/>
            <w:vAlign w:val="center"/>
          </w:tcPr>
          <w:p>
            <w:pPr>
              <w:pStyle w:val="12"/>
            </w:pPr>
            <w:r>
              <w:t>39.80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9.20</w:t>
            </w:r>
          </w:p>
        </w:tc>
        <w:tc>
          <w:tcPr>
            <w:tcW w:w="1361" w:type="dxa"/>
            <w:vAlign w:val="center"/>
          </w:tcPr>
          <w:p>
            <w:pPr>
              <w:pStyle w:val="12"/>
            </w:pPr>
          </w:p>
        </w:tc>
        <w:tc>
          <w:tcPr>
            <w:tcW w:w="1361" w:type="dxa"/>
            <w:vAlign w:val="center"/>
          </w:tcPr>
          <w:p>
            <w:pPr>
              <w:pStyle w:val="12"/>
            </w:pPr>
            <w:r>
              <w:t>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9.20</w:t>
            </w:r>
          </w:p>
        </w:tc>
        <w:tc>
          <w:tcPr>
            <w:tcW w:w="1361" w:type="dxa"/>
            <w:vAlign w:val="center"/>
          </w:tcPr>
          <w:p>
            <w:pPr>
              <w:pStyle w:val="12"/>
            </w:pPr>
          </w:p>
        </w:tc>
        <w:tc>
          <w:tcPr>
            <w:tcW w:w="1361" w:type="dxa"/>
            <w:vAlign w:val="center"/>
          </w:tcPr>
          <w:p>
            <w:pPr>
              <w:pStyle w:val="12"/>
            </w:pPr>
            <w:r>
              <w:t>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224.04</w:t>
            </w:r>
          </w:p>
        </w:tc>
        <w:tc>
          <w:tcPr>
            <w:tcW w:w="1361" w:type="dxa"/>
            <w:vAlign w:val="center"/>
          </w:tcPr>
          <w:p>
            <w:pPr>
              <w:pStyle w:val="12"/>
            </w:pPr>
            <w:r>
              <w:t>193.44</w:t>
            </w:r>
          </w:p>
        </w:tc>
        <w:tc>
          <w:tcPr>
            <w:tcW w:w="1361" w:type="dxa"/>
            <w:vAlign w:val="center"/>
          </w:tcPr>
          <w:p>
            <w:pPr>
              <w:pStyle w:val="12"/>
            </w:pPr>
            <w:r>
              <w:t>30.60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2013405</w:t>
            </w:r>
          </w:p>
        </w:tc>
        <w:tc>
          <w:tcPr>
            <w:tcW w:w="4535" w:type="dxa"/>
            <w:vAlign w:val="center"/>
          </w:tcPr>
          <w:p>
            <w:pPr>
              <w:pStyle w:val="13"/>
            </w:pPr>
            <w:r>
              <w:t>华侨事务</w:t>
            </w:r>
          </w:p>
        </w:tc>
        <w:tc>
          <w:tcPr>
            <w:tcW w:w="1361" w:type="dxa"/>
            <w:vAlign w:val="center"/>
          </w:tcPr>
          <w:p>
            <w:pPr>
              <w:pStyle w:val="12"/>
            </w:pPr>
            <w:r>
              <w:t>224.04</w:t>
            </w:r>
          </w:p>
        </w:tc>
        <w:tc>
          <w:tcPr>
            <w:tcW w:w="1361" w:type="dxa"/>
            <w:vAlign w:val="center"/>
          </w:tcPr>
          <w:p>
            <w:pPr>
              <w:pStyle w:val="12"/>
            </w:pPr>
            <w:r>
              <w:t>193.44</w:t>
            </w:r>
          </w:p>
        </w:tc>
        <w:tc>
          <w:tcPr>
            <w:tcW w:w="1361" w:type="dxa"/>
            <w:vAlign w:val="center"/>
          </w:tcPr>
          <w:p>
            <w:pPr>
              <w:pStyle w:val="12"/>
            </w:pPr>
            <w:r>
              <w:t>30.60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291沧州市归国华侨联合会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233.24</w:t>
            </w:r>
          </w:p>
        </w:tc>
        <w:tc>
          <w:tcPr>
            <w:tcW w:w="3402" w:type="dxa"/>
            <w:vAlign w:val="center"/>
          </w:tcPr>
          <w:p>
            <w:pPr>
              <w:pStyle w:val="13"/>
            </w:pPr>
            <w:r>
              <w:t>一、一般公共服务支出</w:t>
            </w:r>
          </w:p>
        </w:tc>
        <w:tc>
          <w:tcPr>
            <w:tcW w:w="1474" w:type="dxa"/>
            <w:vAlign w:val="center"/>
          </w:tcPr>
          <w:p>
            <w:pPr>
              <w:pStyle w:val="12"/>
            </w:pPr>
            <w:r>
              <w:t>233.24</w:t>
            </w:r>
          </w:p>
        </w:tc>
        <w:tc>
          <w:tcPr>
            <w:tcW w:w="1474" w:type="dxa"/>
            <w:vAlign w:val="center"/>
          </w:tcPr>
          <w:p>
            <w:pPr>
              <w:pStyle w:val="12"/>
            </w:pPr>
            <w:r>
              <w:t>233.24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233.24</w:t>
            </w:r>
          </w:p>
        </w:tc>
        <w:tc>
          <w:tcPr>
            <w:tcW w:w="3402" w:type="dxa"/>
            <w:vAlign w:val="center"/>
          </w:tcPr>
          <w:p>
            <w:pPr>
              <w:pStyle w:val="15"/>
            </w:pPr>
            <w:r>
              <w:t>本年支出合计</w:t>
            </w:r>
          </w:p>
        </w:tc>
        <w:tc>
          <w:tcPr>
            <w:tcW w:w="1474" w:type="dxa"/>
            <w:vAlign w:val="center"/>
          </w:tcPr>
          <w:p>
            <w:pPr>
              <w:pStyle w:val="16"/>
            </w:pPr>
            <w:r>
              <w:t>233.24</w:t>
            </w:r>
          </w:p>
        </w:tc>
        <w:tc>
          <w:tcPr>
            <w:tcW w:w="1474" w:type="dxa"/>
            <w:vAlign w:val="center"/>
          </w:tcPr>
          <w:p>
            <w:pPr>
              <w:pStyle w:val="16"/>
            </w:pPr>
            <w:r>
              <w:t>233.24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233.24</w:t>
            </w:r>
          </w:p>
        </w:tc>
        <w:tc>
          <w:tcPr>
            <w:tcW w:w="3402" w:type="dxa"/>
            <w:vAlign w:val="center"/>
          </w:tcPr>
          <w:p>
            <w:pPr>
              <w:pStyle w:val="15"/>
            </w:pPr>
            <w:r>
              <w:t>支出总计</w:t>
            </w:r>
          </w:p>
        </w:tc>
        <w:tc>
          <w:tcPr>
            <w:tcW w:w="1474" w:type="dxa"/>
            <w:vAlign w:val="center"/>
          </w:tcPr>
          <w:p>
            <w:pPr>
              <w:pStyle w:val="16"/>
            </w:pPr>
            <w:r>
              <w:t>233.24</w:t>
            </w:r>
          </w:p>
        </w:tc>
        <w:tc>
          <w:tcPr>
            <w:tcW w:w="1474" w:type="dxa"/>
            <w:vAlign w:val="center"/>
          </w:tcPr>
          <w:p>
            <w:pPr>
              <w:pStyle w:val="16"/>
            </w:pPr>
            <w:r>
              <w:t>233.24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291沧州市归国华侨联合会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233.24</w:t>
            </w:r>
          </w:p>
        </w:tc>
        <w:tc>
          <w:tcPr>
            <w:tcW w:w="2551" w:type="dxa"/>
            <w:vAlign w:val="center"/>
          </w:tcPr>
          <w:p>
            <w:pPr>
              <w:pStyle w:val="16"/>
            </w:pPr>
            <w:r>
              <w:t>193.44</w:t>
            </w:r>
          </w:p>
        </w:tc>
        <w:tc>
          <w:tcPr>
            <w:tcW w:w="2551" w:type="dxa"/>
            <w:vAlign w:val="center"/>
          </w:tcPr>
          <w:p>
            <w:pPr>
              <w:pStyle w:val="16"/>
            </w:pPr>
            <w:r>
              <w:t>39.80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233.24</w:t>
            </w:r>
          </w:p>
        </w:tc>
        <w:tc>
          <w:tcPr>
            <w:tcW w:w="2551" w:type="dxa"/>
            <w:vAlign w:val="center"/>
          </w:tcPr>
          <w:p>
            <w:pPr>
              <w:pStyle w:val="12"/>
            </w:pPr>
            <w:r>
              <w:t>193.44</w:t>
            </w:r>
          </w:p>
        </w:tc>
        <w:tc>
          <w:tcPr>
            <w:tcW w:w="2551" w:type="dxa"/>
            <w:vAlign w:val="center"/>
          </w:tcPr>
          <w:p>
            <w:pPr>
              <w:pStyle w:val="12"/>
            </w:pPr>
            <w:r>
              <w:t>39.80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9.20</w:t>
            </w:r>
          </w:p>
        </w:tc>
        <w:tc>
          <w:tcPr>
            <w:tcW w:w="2551" w:type="dxa"/>
            <w:vAlign w:val="center"/>
          </w:tcPr>
          <w:p>
            <w:pPr>
              <w:pStyle w:val="12"/>
            </w:pPr>
          </w:p>
        </w:tc>
        <w:tc>
          <w:tcPr>
            <w:tcW w:w="2551" w:type="dxa"/>
            <w:vAlign w:val="center"/>
          </w:tcPr>
          <w:p>
            <w:pPr>
              <w:pStyle w:val="12"/>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9.20</w:t>
            </w:r>
          </w:p>
        </w:tc>
        <w:tc>
          <w:tcPr>
            <w:tcW w:w="2551" w:type="dxa"/>
            <w:vAlign w:val="center"/>
          </w:tcPr>
          <w:p>
            <w:pPr>
              <w:pStyle w:val="12"/>
            </w:pPr>
          </w:p>
        </w:tc>
        <w:tc>
          <w:tcPr>
            <w:tcW w:w="2551" w:type="dxa"/>
            <w:vAlign w:val="center"/>
          </w:tcPr>
          <w:p>
            <w:pPr>
              <w:pStyle w:val="12"/>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224.04</w:t>
            </w:r>
          </w:p>
        </w:tc>
        <w:tc>
          <w:tcPr>
            <w:tcW w:w="2551" w:type="dxa"/>
            <w:vAlign w:val="center"/>
          </w:tcPr>
          <w:p>
            <w:pPr>
              <w:pStyle w:val="12"/>
            </w:pPr>
            <w:r>
              <w:t>193.44</w:t>
            </w:r>
          </w:p>
        </w:tc>
        <w:tc>
          <w:tcPr>
            <w:tcW w:w="2551" w:type="dxa"/>
            <w:vAlign w:val="center"/>
          </w:tcPr>
          <w:p>
            <w:pPr>
              <w:pStyle w:val="12"/>
            </w:pPr>
            <w:r>
              <w:t>30.60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2013405</w:t>
            </w:r>
          </w:p>
        </w:tc>
        <w:tc>
          <w:tcPr>
            <w:tcW w:w="4535" w:type="dxa"/>
            <w:vAlign w:val="center"/>
          </w:tcPr>
          <w:p>
            <w:pPr>
              <w:pStyle w:val="13"/>
            </w:pPr>
            <w:r>
              <w:t>华侨事务</w:t>
            </w:r>
          </w:p>
        </w:tc>
        <w:tc>
          <w:tcPr>
            <w:tcW w:w="2551" w:type="dxa"/>
            <w:vAlign w:val="center"/>
          </w:tcPr>
          <w:p>
            <w:pPr>
              <w:pStyle w:val="12"/>
            </w:pPr>
            <w:r>
              <w:t>224.04</w:t>
            </w:r>
          </w:p>
        </w:tc>
        <w:tc>
          <w:tcPr>
            <w:tcW w:w="2551" w:type="dxa"/>
            <w:vAlign w:val="center"/>
          </w:tcPr>
          <w:p>
            <w:pPr>
              <w:pStyle w:val="12"/>
            </w:pPr>
            <w:r>
              <w:t>193.44</w:t>
            </w:r>
          </w:p>
        </w:tc>
        <w:tc>
          <w:tcPr>
            <w:tcW w:w="2551" w:type="dxa"/>
            <w:vAlign w:val="center"/>
          </w:tcPr>
          <w:p>
            <w:pPr>
              <w:pStyle w:val="12"/>
            </w:pPr>
            <w:r>
              <w:t>30.60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291沧州市归国华侨联合会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193.44</w:t>
            </w:r>
          </w:p>
        </w:tc>
        <w:tc>
          <w:tcPr>
            <w:tcW w:w="2551" w:type="dxa"/>
            <w:vAlign w:val="center"/>
          </w:tcPr>
          <w:p>
            <w:pPr>
              <w:pStyle w:val="16"/>
            </w:pPr>
            <w:r>
              <w:t>164.63</w:t>
            </w:r>
          </w:p>
        </w:tc>
        <w:tc>
          <w:tcPr>
            <w:tcW w:w="2551" w:type="dxa"/>
            <w:vAlign w:val="center"/>
          </w:tcPr>
          <w:p>
            <w:pPr>
              <w:pStyle w:val="16"/>
            </w:pPr>
            <w:r>
              <w:t>28.81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158.71</w:t>
            </w:r>
          </w:p>
        </w:tc>
        <w:tc>
          <w:tcPr>
            <w:tcW w:w="2551" w:type="dxa"/>
            <w:vAlign w:val="center"/>
          </w:tcPr>
          <w:p>
            <w:pPr>
              <w:pStyle w:val="12"/>
            </w:pPr>
            <w:r>
              <w:t>158.71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47.67</w:t>
            </w:r>
          </w:p>
        </w:tc>
        <w:tc>
          <w:tcPr>
            <w:tcW w:w="2551" w:type="dxa"/>
            <w:vAlign w:val="center"/>
          </w:tcPr>
          <w:p>
            <w:pPr>
              <w:pStyle w:val="12"/>
            </w:pPr>
            <w:r>
              <w:t>47.67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36.81</w:t>
            </w:r>
          </w:p>
        </w:tc>
        <w:tc>
          <w:tcPr>
            <w:tcW w:w="2551" w:type="dxa"/>
            <w:vAlign w:val="center"/>
          </w:tcPr>
          <w:p>
            <w:pPr>
              <w:pStyle w:val="12"/>
            </w:pPr>
            <w:r>
              <w:t>36.81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33.72</w:t>
            </w:r>
          </w:p>
        </w:tc>
        <w:tc>
          <w:tcPr>
            <w:tcW w:w="2551" w:type="dxa"/>
            <w:vAlign w:val="center"/>
          </w:tcPr>
          <w:p>
            <w:pPr>
              <w:pStyle w:val="12"/>
            </w:pPr>
            <w:r>
              <w:t>33.72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15.89</w:t>
            </w:r>
          </w:p>
        </w:tc>
        <w:tc>
          <w:tcPr>
            <w:tcW w:w="2551" w:type="dxa"/>
            <w:vAlign w:val="center"/>
          </w:tcPr>
          <w:p>
            <w:pPr>
              <w:pStyle w:val="12"/>
            </w:pPr>
            <w:r>
              <w:t>15.89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5.96</w:t>
            </w:r>
          </w:p>
        </w:tc>
        <w:tc>
          <w:tcPr>
            <w:tcW w:w="2551" w:type="dxa"/>
            <w:vAlign w:val="center"/>
          </w:tcPr>
          <w:p>
            <w:pPr>
              <w:pStyle w:val="12"/>
            </w:pPr>
            <w:r>
              <w:t>5.96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5.31</w:t>
            </w:r>
          </w:p>
        </w:tc>
        <w:tc>
          <w:tcPr>
            <w:tcW w:w="2551" w:type="dxa"/>
            <w:vAlign w:val="center"/>
          </w:tcPr>
          <w:p>
            <w:pPr>
              <w:pStyle w:val="12"/>
            </w:pPr>
            <w:r>
              <w:t>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0.40</w:t>
            </w:r>
          </w:p>
        </w:tc>
        <w:tc>
          <w:tcPr>
            <w:tcW w:w="2551" w:type="dxa"/>
            <w:vAlign w:val="center"/>
          </w:tcPr>
          <w:p>
            <w:pPr>
              <w:pStyle w:val="12"/>
            </w:pPr>
            <w:r>
              <w:t>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12.95</w:t>
            </w:r>
          </w:p>
        </w:tc>
        <w:tc>
          <w:tcPr>
            <w:tcW w:w="2551" w:type="dxa"/>
            <w:vAlign w:val="center"/>
          </w:tcPr>
          <w:p>
            <w:pPr>
              <w:pStyle w:val="12"/>
            </w:pPr>
            <w:r>
              <w:t>12.95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28.81</w:t>
            </w:r>
          </w:p>
        </w:tc>
        <w:tc>
          <w:tcPr>
            <w:tcW w:w="2551" w:type="dxa"/>
            <w:vAlign w:val="center"/>
          </w:tcPr>
          <w:p>
            <w:pPr>
              <w:pStyle w:val="12"/>
            </w:pPr>
          </w:p>
        </w:tc>
        <w:tc>
          <w:tcPr>
            <w:tcW w:w="2551" w:type="dxa"/>
            <w:vAlign w:val="center"/>
          </w:tcPr>
          <w:p>
            <w:pPr>
              <w:pStyle w:val="12"/>
            </w:pPr>
            <w:r>
              <w:t>28.81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1.51</w:t>
            </w:r>
          </w:p>
        </w:tc>
        <w:tc>
          <w:tcPr>
            <w:tcW w:w="2551" w:type="dxa"/>
            <w:vAlign w:val="center"/>
          </w:tcPr>
          <w:p>
            <w:pPr>
              <w:pStyle w:val="12"/>
            </w:pPr>
          </w:p>
        </w:tc>
        <w:tc>
          <w:tcPr>
            <w:tcW w:w="2551" w:type="dxa"/>
            <w:vAlign w:val="center"/>
          </w:tcPr>
          <w:p>
            <w:pPr>
              <w:pStyle w:val="12"/>
            </w:pPr>
            <w:r>
              <w:t>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0.17</w:t>
            </w:r>
          </w:p>
        </w:tc>
        <w:tc>
          <w:tcPr>
            <w:tcW w:w="2551" w:type="dxa"/>
            <w:vAlign w:val="center"/>
          </w:tcPr>
          <w:p>
            <w:pPr>
              <w:pStyle w:val="12"/>
            </w:pPr>
          </w:p>
        </w:tc>
        <w:tc>
          <w:tcPr>
            <w:tcW w:w="2551" w:type="dxa"/>
            <w:vAlign w:val="center"/>
          </w:tcPr>
          <w:p>
            <w:pPr>
              <w:pStyle w:val="12"/>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4.38</w:t>
            </w:r>
          </w:p>
        </w:tc>
        <w:tc>
          <w:tcPr>
            <w:tcW w:w="2551" w:type="dxa"/>
            <w:vAlign w:val="center"/>
          </w:tcPr>
          <w:p>
            <w:pPr>
              <w:pStyle w:val="12"/>
            </w:pPr>
          </w:p>
        </w:tc>
        <w:tc>
          <w:tcPr>
            <w:tcW w:w="2551" w:type="dxa"/>
            <w:vAlign w:val="center"/>
          </w:tcPr>
          <w:p>
            <w:pPr>
              <w:pStyle w:val="12"/>
            </w:pPr>
            <w:r>
              <w:t>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1.47</w:t>
            </w:r>
          </w:p>
        </w:tc>
        <w:tc>
          <w:tcPr>
            <w:tcW w:w="2551" w:type="dxa"/>
            <w:vAlign w:val="center"/>
          </w:tcPr>
          <w:p>
            <w:pPr>
              <w:pStyle w:val="12"/>
            </w:pPr>
          </w:p>
        </w:tc>
        <w:tc>
          <w:tcPr>
            <w:tcW w:w="2551" w:type="dxa"/>
            <w:vAlign w:val="center"/>
          </w:tcPr>
          <w:p>
            <w:pPr>
              <w:pStyle w:val="12"/>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0.43</w:t>
            </w:r>
          </w:p>
        </w:tc>
        <w:tc>
          <w:tcPr>
            <w:tcW w:w="2551" w:type="dxa"/>
            <w:vAlign w:val="center"/>
          </w:tcPr>
          <w:p>
            <w:pPr>
              <w:pStyle w:val="12"/>
            </w:pPr>
          </w:p>
        </w:tc>
        <w:tc>
          <w:tcPr>
            <w:tcW w:w="2551" w:type="dxa"/>
            <w:vAlign w:val="center"/>
          </w:tcPr>
          <w:p>
            <w:pPr>
              <w:pStyle w:val="12"/>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3.40</w:t>
            </w:r>
          </w:p>
        </w:tc>
        <w:tc>
          <w:tcPr>
            <w:tcW w:w="2551" w:type="dxa"/>
            <w:vAlign w:val="center"/>
          </w:tcPr>
          <w:p>
            <w:pPr>
              <w:pStyle w:val="12"/>
            </w:pPr>
          </w:p>
        </w:tc>
        <w:tc>
          <w:tcPr>
            <w:tcW w:w="2551" w:type="dxa"/>
            <w:vAlign w:val="center"/>
          </w:tcPr>
          <w:p>
            <w:pPr>
              <w:pStyle w:val="12"/>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0.94</w:t>
            </w:r>
          </w:p>
        </w:tc>
        <w:tc>
          <w:tcPr>
            <w:tcW w:w="2551" w:type="dxa"/>
            <w:vAlign w:val="center"/>
          </w:tcPr>
          <w:p>
            <w:pPr>
              <w:pStyle w:val="12"/>
            </w:pPr>
          </w:p>
        </w:tc>
        <w:tc>
          <w:tcPr>
            <w:tcW w:w="2551" w:type="dxa"/>
            <w:vAlign w:val="center"/>
          </w:tcPr>
          <w:p>
            <w:pPr>
              <w:pStyle w:val="12"/>
            </w:pPr>
            <w:r>
              <w:t>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3.75</w:t>
            </w:r>
          </w:p>
        </w:tc>
        <w:tc>
          <w:tcPr>
            <w:tcW w:w="2551" w:type="dxa"/>
            <w:vAlign w:val="center"/>
          </w:tcPr>
          <w:p>
            <w:pPr>
              <w:pStyle w:val="12"/>
            </w:pPr>
          </w:p>
        </w:tc>
        <w:tc>
          <w:tcPr>
            <w:tcW w:w="2551" w:type="dxa"/>
            <w:vAlign w:val="center"/>
          </w:tcPr>
          <w:p>
            <w:pPr>
              <w:pStyle w:val="12"/>
            </w:pPr>
            <w:r>
              <w:t>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5.76</w:t>
            </w:r>
          </w:p>
        </w:tc>
        <w:tc>
          <w:tcPr>
            <w:tcW w:w="2551" w:type="dxa"/>
            <w:vAlign w:val="center"/>
          </w:tcPr>
          <w:p>
            <w:pPr>
              <w:pStyle w:val="12"/>
            </w:pPr>
          </w:p>
        </w:tc>
        <w:tc>
          <w:tcPr>
            <w:tcW w:w="2551" w:type="dxa"/>
            <w:vAlign w:val="center"/>
          </w:tcPr>
          <w:p>
            <w:pPr>
              <w:pStyle w:val="12"/>
            </w:pPr>
            <w: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5.09</w:t>
            </w:r>
          </w:p>
        </w:tc>
        <w:tc>
          <w:tcPr>
            <w:tcW w:w="2551" w:type="dxa"/>
            <w:vAlign w:val="center"/>
          </w:tcPr>
          <w:p>
            <w:pPr>
              <w:pStyle w:val="12"/>
            </w:pPr>
          </w:p>
        </w:tc>
        <w:tc>
          <w:tcPr>
            <w:tcW w:w="2551" w:type="dxa"/>
            <w:vAlign w:val="center"/>
          </w:tcPr>
          <w:p>
            <w:pPr>
              <w:pStyle w:val="12"/>
            </w:pPr>
            <w:r>
              <w:t>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5.92</w:t>
            </w:r>
          </w:p>
        </w:tc>
        <w:tc>
          <w:tcPr>
            <w:tcW w:w="2551" w:type="dxa"/>
            <w:vAlign w:val="center"/>
          </w:tcPr>
          <w:p>
            <w:pPr>
              <w:pStyle w:val="12"/>
            </w:pPr>
            <w:r>
              <w:t>5.92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0.11</w:t>
            </w:r>
          </w:p>
        </w:tc>
        <w:tc>
          <w:tcPr>
            <w:tcW w:w="2551" w:type="dxa"/>
            <w:vAlign w:val="center"/>
          </w:tcPr>
          <w:p>
            <w:pPr>
              <w:pStyle w:val="12"/>
            </w:pPr>
            <w:r>
              <w:t>0.11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4.42</w:t>
            </w:r>
          </w:p>
        </w:tc>
        <w:tc>
          <w:tcPr>
            <w:tcW w:w="2551" w:type="dxa"/>
            <w:vAlign w:val="center"/>
          </w:tcPr>
          <w:p>
            <w:pPr>
              <w:pStyle w:val="12"/>
            </w:pPr>
            <w:r>
              <w:t>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1.09</w:t>
            </w:r>
          </w:p>
        </w:tc>
        <w:tc>
          <w:tcPr>
            <w:tcW w:w="2551" w:type="dxa"/>
            <w:vAlign w:val="center"/>
          </w:tcPr>
          <w:p>
            <w:pPr>
              <w:pStyle w:val="12"/>
            </w:pPr>
            <w:r>
              <w:t>1.09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0.30</w:t>
            </w:r>
          </w:p>
        </w:tc>
        <w:tc>
          <w:tcPr>
            <w:tcW w:w="2551" w:type="dxa"/>
            <w:vAlign w:val="center"/>
          </w:tcPr>
          <w:p>
            <w:pPr>
              <w:pStyle w:val="12"/>
            </w:pPr>
            <w:r>
              <w:t>0.30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291沧州市归国华侨联合会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291沧州市归国华侨联合会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291沧州市归国华侨联合会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3.93</w:t>
            </w:r>
          </w:p>
        </w:tc>
        <w:tc>
          <w:tcPr>
            <w:tcW w:w="2381" w:type="dxa"/>
            <w:vAlign w:val="center"/>
          </w:tcPr>
          <w:p>
            <w:pPr>
              <w:pStyle w:val="16"/>
            </w:pPr>
            <w:r>
              <w:t>3.93</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3.93</w:t>
            </w:r>
          </w:p>
        </w:tc>
        <w:tc>
          <w:tcPr>
            <w:tcW w:w="2381" w:type="dxa"/>
            <w:vAlign w:val="center"/>
          </w:tcPr>
          <w:p>
            <w:pPr>
              <w:pStyle w:val="12"/>
            </w:pPr>
            <w:r>
              <w:t>3.93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3.75</w:t>
            </w:r>
          </w:p>
        </w:tc>
        <w:tc>
          <w:tcPr>
            <w:tcW w:w="2381" w:type="dxa"/>
            <w:vAlign w:val="center"/>
          </w:tcPr>
          <w:p>
            <w:pPr>
              <w:pStyle w:val="12"/>
            </w:pPr>
            <w:r>
              <w:t>3.75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3.75</w:t>
            </w:r>
          </w:p>
        </w:tc>
        <w:tc>
          <w:tcPr>
            <w:tcW w:w="2381" w:type="dxa"/>
            <w:vAlign w:val="center"/>
          </w:tcPr>
          <w:p>
            <w:pPr>
              <w:pStyle w:val="12"/>
            </w:pPr>
            <w:r>
              <w:t>3.75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0.18</w:t>
            </w:r>
          </w:p>
        </w:tc>
        <w:tc>
          <w:tcPr>
            <w:tcW w:w="2381" w:type="dxa"/>
            <w:vAlign w:val="center"/>
          </w:tcPr>
          <w:p>
            <w:pPr>
              <w:pStyle w:val="12"/>
            </w:pPr>
            <w:r>
              <w:t>0.18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沧州市归国华侨联合会2025年部门预算信息公开情况说明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沧州市归国华侨联合会2025年部门预算信息公开情况说明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按照《中华人民共和国预算法》、《地方预决算公开操作规程》和《关于进一步推进预算公开工作的实施意见》规定，现将沧州市归国华侨联合会2025年部门预算公开如下：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一、服务经济文化开展海外联谊职责</w:t>
      </w:r>
    </w:p>
    <w:p>
      <w:pPr>
        <w:pStyle w:val="18"/>
      </w:pPr>
      <w:r>
        <w:t>内容描述：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pPr>
        <w:pStyle w:val="18"/>
      </w:pPr>
      <w:r>
        <w:t>（一）招商引资活动：举办经贸洽谈会活动，展示本市形象，扩大沧州市知名度、宣传本市区位优势和良好的投资环境，围绕全市招商引资重点，进一步推动我市招商引资和对外经贸合作。</w:t>
      </w:r>
    </w:p>
    <w:p>
      <w:pPr>
        <w:pStyle w:val="18"/>
      </w:pPr>
      <w:r>
        <w:t>二、侨界事务管理职责</w:t>
      </w:r>
    </w:p>
    <w:p>
      <w:pPr>
        <w:pStyle w:val="18"/>
      </w:pPr>
      <w:r>
        <w:t>内容描述：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pPr>
        <w:pStyle w:val="18"/>
      </w:pPr>
      <w:r>
        <w:t>（一）侨益维护活动：组织实施涉侨法律法规宣传教育、法律咨询服务、纠纷案件处理、侨眷侨属慰问等活动。深入了解归侨侨眷工作生活状况，推动各项保障和改善民生政策的具体落实。</w:t>
      </w:r>
    </w:p>
    <w:p>
      <w:pPr>
        <w:pStyle w:val="18"/>
      </w:pPr>
      <w:r>
        <w:t>（二）综合业务管理活动：研究部署全市侨联年度工作任务，召开系统会议，指导各市侨联工作。研究侨联面临的新形势、新任务、新特点，加强基层组织建设和干部队伍建设。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沧州市归国华侨联合会本级</w:t>
            </w:r>
          </w:p>
        </w:tc>
        <w:tc>
          <w:tcPr>
            <w:tcW w:w="1843" w:type="dxa"/>
            <w:vAlign w:val="center"/>
          </w:tcPr>
          <w:p>
            <w:pPr>
              <w:pStyle w:val="14"/>
            </w:pPr>
            <w:r>
              <w:t>事业</w:t>
            </w:r>
          </w:p>
        </w:tc>
        <w:tc>
          <w:tcPr>
            <w:tcW w:w="2126" w:type="dxa"/>
            <w:vAlign w:val="center"/>
          </w:tcPr>
          <w:p>
            <w:pPr>
              <w:pStyle w:val="14"/>
            </w:pPr>
            <w:r>
              <w:t>正处（县）级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按照预算管理有关规定，目前部门预算的编制实行综合预算管理，即全部收入和支出都反映在预算中。沧州市归国华侨联合会机关及所属事业单位的收支包含在部门预算中。</w:t>
      </w:r>
    </w:p>
    <w:p>
      <w:pPr>
        <w:pStyle w:val="19"/>
      </w:pPr>
      <w:r>
        <w:t>1、收入说明</w:t>
      </w:r>
    </w:p>
    <w:p>
      <w:pPr>
        <w:pStyle w:val="19"/>
      </w:pPr>
      <w:r>
        <w:t>反映本部门当年全部收入。2025年预算收入233.24万元，其中：一般公共预算收入233.24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沧州市归国华侨联合会年度部门预算中支出预算的总体情况。2025年支出预算233.24万元，其中基本支出193.44万元，包括人员经费164.63万元和日常公用经费28.81万元；项目支出39.80万元，主要为海外联谊经费15万元、侨务事物管理经费14万元、提前下达2025年度华侨事务预算10.8万元。</w:t>
      </w:r>
    </w:p>
    <w:p>
      <w:pPr>
        <w:pStyle w:val="19"/>
      </w:pPr>
      <w:r>
        <w:t>3、比上年增减情况</w:t>
      </w:r>
    </w:p>
    <w:p>
      <w:pPr>
        <w:pStyle w:val="19"/>
      </w:pPr>
      <w:r>
        <w:t>2025年预算收支安排233.24万元，较2024年预算增加5.59万元，其中：基本支出增加5.59万元，主要为人员经费支出增加7.28万元，日常公用经费支出减少1.69万元；项目支出增加0.00万元，主要为无增减变化。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2025年，我部门机关运行经费共计安排28.81万元，主要用于日常维修、办公用房水电费、办公用房取暖费、办公用房物业管理费等日常运行支出。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3.93万元，其中因公出国（境）费0.00万元；公务用车购置及运维费3.75万元（其中：公务用车购置费为0.00万元，公务用车运维费3.75万元)；公务接待费0.18万元。与2024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一、积极做好政治学习、思想学习和制度学习工作，把贯彻落实二十大会议精神放在首位来抓，扎实推进习近平总书记重要指示批示精神落地见效。</w:t>
      </w:r>
    </w:p>
    <w:p>
      <w:pPr>
        <w:pStyle w:val="22"/>
      </w:pPr>
      <w:r>
        <w:t>二、不断完善侨联各项制度，积极推进党风廉政建设，认真履行主体责任制度，加强侨联机关党建工作。</w:t>
      </w:r>
    </w:p>
    <w:p>
      <w:pPr>
        <w:pStyle w:val="22"/>
      </w:pPr>
      <w:r>
        <w:t>三、要深入基层、深入实际，加强舆论引导作用，注重对广大归侨侨眷和海外侨胞的思想引领，最大限度凝聚侨心、汇聚侨力、集中侨智，不断夯实侨界群众基础。</w:t>
      </w:r>
    </w:p>
    <w:p>
      <w:pPr>
        <w:pStyle w:val="22"/>
      </w:pPr>
      <w:r>
        <w:t>四、积极为侨资企业搭建平台，带领侨资企业走出去，利用海外仓平台把沧州产业输送到海外市场，以开展招商引资活动，帮助企业提供高端技术、智力支持。</w:t>
      </w:r>
    </w:p>
    <w:p>
      <w:pPr>
        <w:pStyle w:val="22"/>
      </w:pPr>
      <w:r>
        <w:t>五、加强海外联谊工作，按照“提升人员层次、提升活动效果”的原则，精准对接、精心服务，广泛联系全市华商企业，组织好侨商沧州行活动。积极做好“夏令营”和留学生联谊工作。</w:t>
      </w:r>
    </w:p>
    <w:p>
      <w:pPr>
        <w:pStyle w:val="22"/>
      </w:pPr>
      <w:r>
        <w:t>六、联系引导侨界人大代表、政协委员履行参政议政职责，为沧州市经济发展建言献策。</w:t>
      </w:r>
    </w:p>
    <w:p>
      <w:pPr>
        <w:pStyle w:val="22"/>
      </w:pPr>
      <w:r>
        <w:t>七、积极发挥侨联凝聚力，探索“党建带侨建”工作机制，为广大归侨侨眷创造活动场所，搭建活动平台，建好“侨胞之家”、大学侨联和新侨工作站。</w:t>
      </w:r>
    </w:p>
    <w:p>
      <w:pPr>
        <w:pStyle w:val="22"/>
      </w:pPr>
      <w:r>
        <w:t>八、加强基层侨联作用，发挥侨联常委、委员作用，按时召开侨联全委员、常委会，提高侨联委员的议事能力和参与能力。</w:t>
      </w:r>
    </w:p>
    <w:p>
      <w:pPr>
        <w:pStyle w:val="22"/>
      </w:pPr>
      <w:r>
        <w:t>九、做好扶贫困和重大节日慰问工作，继续做好困难归侨、老归侨的体检工作。发挥侨联优势，积极做好公益事业工作，更大范围的帮助社会困难人群。</w:t>
      </w:r>
    </w:p>
    <w:p>
      <w:pPr>
        <w:pStyle w:val="22"/>
      </w:pPr>
      <w:r>
        <w:t>十、加强自身建设，不断增强政治引领、思想引领和制度引领，落实好《市侨联机构改革方案》，增强侨联干部队伍力量，努力打造一支优秀的侨联干部队伍。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pPr>
        <w:pStyle w:val="23"/>
      </w:pPr>
      <w:r>
        <w:t>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w:t>
      </w:r>
      <w:r>
        <w:rPr>
          <w:rFonts w:hint="eastAsia"/>
          <w:lang w:val="en-US" w:eastAsia="zh-CN"/>
        </w:rPr>
        <w:t>1</w:t>
      </w:r>
      <w:r>
        <w:t>）加强支出管理。通过优化支出结构、编细编实预算、加快履行政府采购手续、尽快启动项目、及时支付资金、按规定及时下达资金等多种措施，确保支出进度达标。</w:t>
      </w:r>
    </w:p>
    <w:p>
      <w:pPr>
        <w:pStyle w:val="24"/>
      </w:pPr>
      <w:r>
        <w:t>（</w:t>
      </w:r>
      <w:r>
        <w:rPr>
          <w:rFonts w:hint="eastAsia"/>
          <w:lang w:val="en-US" w:eastAsia="zh-CN"/>
        </w:rPr>
        <w:t>2</w:t>
      </w:r>
      <w:r>
        <w:t>）加强绩效运行监控。按要求开展绩效运行监控，发现可题及时采取措施，确保绩效目标如期保质实现。</w:t>
      </w:r>
    </w:p>
    <w:p>
      <w:pPr>
        <w:pStyle w:val="24"/>
      </w:pPr>
      <w:r>
        <w:t>（</w:t>
      </w:r>
      <w:r>
        <w:rPr>
          <w:rFonts w:hint="eastAsia"/>
          <w:lang w:val="en-US" w:eastAsia="zh-CN"/>
        </w:rPr>
        <w:t>3</w:t>
      </w:r>
      <w:r>
        <w:t>）做好绩效自评。按要求开展上年度部门预算绩效自评和重点评价工作，对评价中发现的问题及时整改，调整优化支出结构，提高财政资金使用效益。</w:t>
      </w:r>
    </w:p>
    <w:p>
      <w:pPr>
        <w:pStyle w:val="24"/>
      </w:pPr>
      <w:r>
        <w:t>（</w:t>
      </w:r>
      <w:r>
        <w:rPr>
          <w:rFonts w:hint="eastAsia"/>
          <w:lang w:val="en-US" w:eastAsia="zh-CN"/>
        </w:rPr>
        <w:t>4</w:t>
      </w:r>
      <w:r>
        <w:t>）规范财务资产管理。完善财务管理制度，严格审批程序，加强固定资产登记、使用和报废处置管理，做到支出合理，物尽其用。</w:t>
      </w:r>
    </w:p>
    <w:p>
      <w:pPr>
        <w:pStyle w:val="24"/>
      </w:pPr>
      <w:r>
        <w:t>（</w:t>
      </w:r>
      <w:r>
        <w:rPr>
          <w:rFonts w:hint="eastAsia"/>
          <w:lang w:val="en-US" w:eastAsia="zh-CN"/>
        </w:rPr>
        <w:t>5</w:t>
      </w:r>
      <w:r>
        <w:t>）加强内部监督。加强内部监督制度建设，对绩效运行情況、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w:t>
      </w:r>
      <w:r>
        <w:rPr>
          <w:rFonts w:hint="eastAsia"/>
          <w:lang w:val="en-US" w:eastAsia="zh-CN"/>
        </w:rPr>
        <w:t>6</w:t>
      </w:r>
      <w:r>
        <w:t>）加强宣传培训调研等。加强人员培训，提高本部门职工业务素质;加强调研，提出优化财政资金配置、提高资金使用效益的意见建议;加大宣传力度，强化预算绩效管理意识促进预算绩效管理水平进一步提升。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1、海外联谊经费绩效目标表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13090025P000026100071</w:t>
            </w:r>
          </w:p>
        </w:tc>
        <w:tc>
          <w:tcPr>
            <w:tcW w:w="2835" w:type="dxa"/>
            <w:vAlign w:val="center"/>
          </w:tcPr>
          <w:p>
            <w:pPr>
              <w:pStyle w:val="11"/>
            </w:pPr>
            <w:r>
              <w:t>项目名称</w:t>
            </w:r>
          </w:p>
        </w:tc>
        <w:tc>
          <w:tcPr>
            <w:tcW w:w="6095" w:type="dxa"/>
            <w:gridSpan w:val="3"/>
            <w:vAlign w:val="center"/>
          </w:tcPr>
          <w:p>
            <w:pPr>
              <w:pStyle w:val="13"/>
            </w:pPr>
            <w:r>
              <w:t>海外联谊经费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组织开展形式各样的活动，增进归侨侨眷之间的沟通交流引导积极向上的互助管理；建立海内外侨商的联络，传播好中国声音，增进国际文化交流。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1.建立海内外侨商的联络，传播好中国声音，增进国际文化交流。 </w:t>
            </w:r>
          </w:p>
          <w:p>
            <w:pPr>
              <w:pStyle w:val="13"/>
            </w:pPr>
            <w:r>
              <w:t xml:space="preserve">2.组织开展形式各样的活动，增进归侨侨眷之间的沟通交流引导积极向上的互助管理；建立海内外侨商的联络，传播好中国声音，增进国际文化交流。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反映组织开展活动次数</w:t>
            </w:r>
          </w:p>
        </w:tc>
        <w:tc>
          <w:tcPr>
            <w:tcW w:w="5386" w:type="dxa"/>
            <w:vAlign w:val="center"/>
          </w:tcPr>
          <w:p>
            <w:pPr>
              <w:pStyle w:val="13"/>
            </w:pPr>
            <w:r>
              <w:t>反映组织开展活动次数</w:t>
            </w:r>
          </w:p>
        </w:tc>
        <w:tc>
          <w:tcPr>
            <w:tcW w:w="2268" w:type="dxa"/>
            <w:vAlign w:val="center"/>
          </w:tcPr>
          <w:p>
            <w:pPr>
              <w:pStyle w:val="13"/>
            </w:pPr>
            <w:r>
              <w:t>≥2次</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反映活动达到的效果</w:t>
            </w:r>
          </w:p>
        </w:tc>
        <w:tc>
          <w:tcPr>
            <w:tcW w:w="5386" w:type="dxa"/>
            <w:vAlign w:val="center"/>
          </w:tcPr>
          <w:p>
            <w:pPr>
              <w:pStyle w:val="13"/>
            </w:pPr>
            <w:r>
              <w:t>反映活动达到的效果</w:t>
            </w:r>
          </w:p>
        </w:tc>
        <w:tc>
          <w:tcPr>
            <w:tcW w:w="2268" w:type="dxa"/>
            <w:vAlign w:val="center"/>
          </w:tcPr>
          <w:p>
            <w:pPr>
              <w:pStyle w:val="13"/>
            </w:pPr>
            <w:r>
              <w:t>≥95百分比</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反映活动完成所需时间</w:t>
            </w:r>
          </w:p>
        </w:tc>
        <w:tc>
          <w:tcPr>
            <w:tcW w:w="5386" w:type="dxa"/>
            <w:vAlign w:val="center"/>
          </w:tcPr>
          <w:p>
            <w:pPr>
              <w:pStyle w:val="13"/>
            </w:pPr>
            <w:r>
              <w:t>反映活动完成所需时间</w:t>
            </w:r>
          </w:p>
        </w:tc>
        <w:tc>
          <w:tcPr>
            <w:tcW w:w="2268" w:type="dxa"/>
            <w:vAlign w:val="center"/>
          </w:tcPr>
          <w:p>
            <w:pPr>
              <w:pStyle w:val="13"/>
            </w:pPr>
            <w:r>
              <w:t>≤1年</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反映支出成本</w:t>
            </w:r>
          </w:p>
        </w:tc>
        <w:tc>
          <w:tcPr>
            <w:tcW w:w="5386" w:type="dxa"/>
            <w:vAlign w:val="center"/>
          </w:tcPr>
          <w:p>
            <w:pPr>
              <w:pStyle w:val="13"/>
            </w:pPr>
            <w:r>
              <w:t>反映支出成本</w:t>
            </w:r>
          </w:p>
        </w:tc>
        <w:tc>
          <w:tcPr>
            <w:tcW w:w="2268" w:type="dxa"/>
            <w:vAlign w:val="center"/>
          </w:tcPr>
          <w:p>
            <w:pPr>
              <w:pStyle w:val="13"/>
            </w:pPr>
            <w:r>
              <w:t>≤15万元</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增进归侨侨眷之间的沟通交流</w:t>
            </w:r>
          </w:p>
        </w:tc>
        <w:tc>
          <w:tcPr>
            <w:tcW w:w="5386" w:type="dxa"/>
            <w:vAlign w:val="center"/>
          </w:tcPr>
          <w:p>
            <w:pPr>
              <w:pStyle w:val="13"/>
            </w:pPr>
            <w:r>
              <w:t>增进归侨侨眷之间的沟通交流</w:t>
            </w:r>
          </w:p>
        </w:tc>
        <w:tc>
          <w:tcPr>
            <w:tcW w:w="2268" w:type="dxa"/>
            <w:vAlign w:val="center"/>
          </w:tcPr>
          <w:p>
            <w:pPr>
              <w:pStyle w:val="13"/>
            </w:pPr>
            <w:r>
              <w:t>增进归侨侨眷之间的沟通交流</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建立海内外侨商的联络，增进国际文化交流</w:t>
            </w:r>
          </w:p>
        </w:tc>
        <w:tc>
          <w:tcPr>
            <w:tcW w:w="5386" w:type="dxa"/>
            <w:vAlign w:val="center"/>
          </w:tcPr>
          <w:p>
            <w:pPr>
              <w:pStyle w:val="13"/>
            </w:pPr>
            <w:r>
              <w:t>建立海内外侨商的联络，增进国际文化交流</w:t>
            </w:r>
          </w:p>
        </w:tc>
        <w:tc>
          <w:tcPr>
            <w:tcW w:w="2268" w:type="dxa"/>
            <w:vAlign w:val="center"/>
          </w:tcPr>
          <w:p>
            <w:pPr>
              <w:pStyle w:val="13"/>
            </w:pPr>
            <w:r>
              <w:t>建立海内外侨商的联络，增进国际文化交流</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服务对象满意度指标</w:t>
            </w:r>
          </w:p>
        </w:tc>
        <w:tc>
          <w:tcPr>
            <w:tcW w:w="1276" w:type="dxa"/>
            <w:vAlign w:val="center"/>
          </w:tcPr>
          <w:p>
            <w:pPr>
              <w:pStyle w:val="13"/>
            </w:pPr>
            <w:r>
              <w:t>年初预算文本</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2、侨务事务管理绩效目标表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13090025P000010100187</w:t>
            </w:r>
          </w:p>
        </w:tc>
        <w:tc>
          <w:tcPr>
            <w:tcW w:w="2835" w:type="dxa"/>
            <w:vAlign w:val="center"/>
          </w:tcPr>
          <w:p>
            <w:pPr>
              <w:pStyle w:val="11"/>
            </w:pPr>
            <w:r>
              <w:t>项目名称</w:t>
            </w:r>
          </w:p>
        </w:tc>
        <w:tc>
          <w:tcPr>
            <w:tcW w:w="6095" w:type="dxa"/>
            <w:gridSpan w:val="3"/>
            <w:vAlign w:val="center"/>
          </w:tcPr>
          <w:p>
            <w:pPr>
              <w:pStyle w:val="13"/>
            </w:pPr>
            <w:r>
              <w:t>侨务事务管理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加强政治引领，最大限度团结引领广大归侨侨眷和海外侨胞画好同心圆。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1.做好归国华侨及侨眷的帮扶慰问工作。</w:t>
            </w:r>
          </w:p>
          <w:p>
            <w:pPr>
              <w:pStyle w:val="13"/>
            </w:pPr>
            <w:r>
              <w:t>2.加强政治引领，最大限度团结引领广大归侨侨眷和海外侨胞画好同心圆。</w:t>
            </w:r>
          </w:p>
          <w:p>
            <w:pPr>
              <w:pStyle w:val="13"/>
            </w:pPr>
            <w:r>
              <w:t>3.依据《归侨侨眷权益保护法》规定，维护好归侨侨眷的合法权益和海外侨胞在国内的正当权益。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反映组织开展活动次数</w:t>
            </w:r>
          </w:p>
        </w:tc>
        <w:tc>
          <w:tcPr>
            <w:tcW w:w="5386" w:type="dxa"/>
            <w:vAlign w:val="center"/>
          </w:tcPr>
          <w:p>
            <w:pPr>
              <w:pStyle w:val="13"/>
            </w:pPr>
            <w:r>
              <w:t>反映组织开展活动次数</w:t>
            </w:r>
          </w:p>
        </w:tc>
        <w:tc>
          <w:tcPr>
            <w:tcW w:w="2268" w:type="dxa"/>
            <w:vAlign w:val="center"/>
          </w:tcPr>
          <w:p>
            <w:pPr>
              <w:pStyle w:val="13"/>
            </w:pPr>
            <w:r>
              <w:t>≥2次</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反映活动达到的效果</w:t>
            </w:r>
          </w:p>
        </w:tc>
        <w:tc>
          <w:tcPr>
            <w:tcW w:w="5386" w:type="dxa"/>
            <w:vAlign w:val="center"/>
          </w:tcPr>
          <w:p>
            <w:pPr>
              <w:pStyle w:val="13"/>
            </w:pPr>
            <w:r>
              <w:t>反映活动达到的效果</w:t>
            </w:r>
          </w:p>
        </w:tc>
        <w:tc>
          <w:tcPr>
            <w:tcW w:w="2268" w:type="dxa"/>
            <w:vAlign w:val="center"/>
          </w:tcPr>
          <w:p>
            <w:pPr>
              <w:pStyle w:val="13"/>
              <w:rPr>
                <w:rFonts w:hint="eastAsia" w:eastAsia="方正书宋_GBK"/>
                <w:lang w:eastAsia="zh-CN"/>
              </w:rPr>
            </w:pPr>
            <w:r>
              <w:t>≥95</w:t>
            </w:r>
            <w:r>
              <w:rPr>
                <w:rFonts w:hint="eastAsia"/>
                <w:lang w:val="en-US" w:eastAsia="zh-CN"/>
              </w:rPr>
              <w:t>%</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反映活动完成所需时间</w:t>
            </w:r>
          </w:p>
        </w:tc>
        <w:tc>
          <w:tcPr>
            <w:tcW w:w="5386" w:type="dxa"/>
            <w:vAlign w:val="center"/>
          </w:tcPr>
          <w:p>
            <w:pPr>
              <w:pStyle w:val="13"/>
            </w:pPr>
            <w:r>
              <w:t>反映活动完成所需时间</w:t>
            </w:r>
          </w:p>
        </w:tc>
        <w:tc>
          <w:tcPr>
            <w:tcW w:w="2268" w:type="dxa"/>
            <w:vAlign w:val="center"/>
          </w:tcPr>
          <w:p>
            <w:pPr>
              <w:pStyle w:val="13"/>
            </w:pPr>
            <w:r>
              <w:t>≤1年</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反映支出成本</w:t>
            </w:r>
          </w:p>
        </w:tc>
        <w:tc>
          <w:tcPr>
            <w:tcW w:w="5386" w:type="dxa"/>
            <w:vAlign w:val="center"/>
          </w:tcPr>
          <w:p>
            <w:pPr>
              <w:pStyle w:val="13"/>
            </w:pPr>
            <w:r>
              <w:t>反映支出成本</w:t>
            </w:r>
          </w:p>
        </w:tc>
        <w:tc>
          <w:tcPr>
            <w:tcW w:w="2268" w:type="dxa"/>
            <w:vAlign w:val="center"/>
          </w:tcPr>
          <w:p>
            <w:pPr>
              <w:pStyle w:val="13"/>
            </w:pPr>
            <w:r>
              <w:t>≤14万元</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增进归侨侨眷之间的沟通交流</w:t>
            </w:r>
          </w:p>
        </w:tc>
        <w:tc>
          <w:tcPr>
            <w:tcW w:w="5386" w:type="dxa"/>
            <w:vAlign w:val="center"/>
          </w:tcPr>
          <w:p>
            <w:pPr>
              <w:pStyle w:val="13"/>
            </w:pPr>
            <w:r>
              <w:t>增进归侨侨眷之间的沟通交流</w:t>
            </w:r>
          </w:p>
        </w:tc>
        <w:tc>
          <w:tcPr>
            <w:tcW w:w="2268" w:type="dxa"/>
            <w:vAlign w:val="center"/>
          </w:tcPr>
          <w:p>
            <w:pPr>
              <w:pStyle w:val="13"/>
            </w:pPr>
            <w:r>
              <w:t>增进归侨侨眷之间的沟通交流</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建立海内外侨商的联络，增进国际文化交流</w:t>
            </w:r>
          </w:p>
        </w:tc>
        <w:tc>
          <w:tcPr>
            <w:tcW w:w="5386" w:type="dxa"/>
            <w:vAlign w:val="center"/>
          </w:tcPr>
          <w:p>
            <w:pPr>
              <w:pStyle w:val="13"/>
            </w:pPr>
            <w:r>
              <w:t>建立海内外侨商的联络，增进国际文化交流</w:t>
            </w:r>
          </w:p>
        </w:tc>
        <w:tc>
          <w:tcPr>
            <w:tcW w:w="2268" w:type="dxa"/>
            <w:vAlign w:val="center"/>
          </w:tcPr>
          <w:p>
            <w:pPr>
              <w:pStyle w:val="13"/>
            </w:pPr>
            <w:r>
              <w:t>建立海内外侨商的联络，增进国际文化交流</w:t>
            </w:r>
          </w:p>
        </w:tc>
        <w:tc>
          <w:tcPr>
            <w:tcW w:w="1276" w:type="dxa"/>
            <w:vAlign w:val="center"/>
          </w:tcPr>
          <w:p>
            <w:pPr>
              <w:pStyle w:val="13"/>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会议召开满意度</w:t>
            </w:r>
          </w:p>
        </w:tc>
        <w:tc>
          <w:tcPr>
            <w:tcW w:w="5386" w:type="dxa"/>
            <w:vAlign w:val="center"/>
          </w:tcPr>
          <w:p>
            <w:pPr>
              <w:pStyle w:val="13"/>
            </w:pPr>
            <w:r>
              <w:t>会议召开满意度</w:t>
            </w:r>
          </w:p>
        </w:tc>
        <w:tc>
          <w:tcPr>
            <w:tcW w:w="2268" w:type="dxa"/>
            <w:vAlign w:val="center"/>
          </w:tcPr>
          <w:p>
            <w:pPr>
              <w:pStyle w:val="13"/>
              <w:rPr>
                <w:rFonts w:hint="eastAsia" w:eastAsia="方正书宋_GBK"/>
                <w:lang w:eastAsia="zh-CN"/>
              </w:rPr>
            </w:pPr>
            <w:r>
              <w:t>≥98</w:t>
            </w:r>
            <w:r>
              <w:rPr>
                <w:rFonts w:hint="eastAsia"/>
                <w:lang w:val="en-US" w:eastAsia="zh-CN"/>
              </w:rPr>
              <w:t>%</w:t>
            </w:r>
            <w:bookmarkStart w:id="20" w:name="_GoBack"/>
            <w:bookmarkEnd w:id="20"/>
          </w:p>
        </w:tc>
        <w:tc>
          <w:tcPr>
            <w:tcW w:w="1276" w:type="dxa"/>
            <w:vAlign w:val="center"/>
          </w:tcPr>
          <w:p>
            <w:pPr>
              <w:pStyle w:val="13"/>
            </w:pPr>
            <w:r>
              <w:t>对服务人员的抽查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3、提前下达2025年度华侨事务预算绩效目标表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13090025P00000210012M</w:t>
            </w:r>
          </w:p>
        </w:tc>
        <w:tc>
          <w:tcPr>
            <w:tcW w:w="2835" w:type="dxa"/>
            <w:vAlign w:val="center"/>
          </w:tcPr>
          <w:p>
            <w:pPr>
              <w:pStyle w:val="11"/>
            </w:pPr>
            <w:r>
              <w:t>项目名称</w:t>
            </w:r>
          </w:p>
        </w:tc>
        <w:tc>
          <w:tcPr>
            <w:tcW w:w="6095" w:type="dxa"/>
            <w:gridSpan w:val="3"/>
            <w:vAlign w:val="center"/>
          </w:tcPr>
          <w:p>
            <w:pPr>
              <w:pStyle w:val="13"/>
            </w:pPr>
            <w:r>
              <w:t>提前下达2025年度华侨事务预算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w:t>
            </w:r>
          </w:p>
        </w:tc>
        <w:tc>
          <w:tcPr>
            <w:tcW w:w="2835" w:type="dxa"/>
            <w:vAlign w:val="center"/>
          </w:tcPr>
          <w:p>
            <w:pPr>
              <w:pStyle w:val="11"/>
            </w:pPr>
            <w:r>
              <w:t>其中：财政    资金</w:t>
            </w:r>
          </w:p>
        </w:tc>
        <w:tc>
          <w:tcPr>
            <w:tcW w:w="2551" w:type="dxa"/>
            <w:vAlign w:val="center"/>
          </w:tcPr>
          <w:p>
            <w:pPr>
              <w:pStyle w:val="13"/>
            </w:pPr>
            <w:r>
              <w:t>10.80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通过加强侨胞之家建设、基层侨联干部培训，提升基层侨联组织建设和为侨服务工作水平。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10800000%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1.通过加强侨胞之家建设、基层侨联干部培训，提升基层侨联组织建设和为侨服务工作水平。</w:t>
            </w:r>
          </w:p>
          <w:p>
            <w:pPr>
              <w:pStyle w:val="13"/>
            </w:pPr>
            <w:r>
              <w:t>2.通过开展侨界特殊群体慰问、做好为侨服务工作，提升侨界群众的获得感和幸福感。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归侨侨眷特殊群体关怀照顾人数</w:t>
            </w:r>
          </w:p>
        </w:tc>
        <w:tc>
          <w:tcPr>
            <w:tcW w:w="5386" w:type="dxa"/>
            <w:vAlign w:val="center"/>
          </w:tcPr>
          <w:p>
            <w:pPr>
              <w:pStyle w:val="13"/>
            </w:pPr>
            <w:r>
              <w:t>归侨侨眷特殊群体关怀照顾人数</w:t>
            </w:r>
          </w:p>
        </w:tc>
        <w:tc>
          <w:tcPr>
            <w:tcW w:w="2268" w:type="dxa"/>
            <w:vAlign w:val="center"/>
          </w:tcPr>
          <w:p>
            <w:pPr>
              <w:pStyle w:val="13"/>
            </w:pPr>
            <w:r>
              <w:t>16人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归侨侨眷特殊群体慰问金发放精准率</w:t>
            </w:r>
          </w:p>
        </w:tc>
        <w:tc>
          <w:tcPr>
            <w:tcW w:w="5386" w:type="dxa"/>
            <w:vAlign w:val="center"/>
          </w:tcPr>
          <w:p>
            <w:pPr>
              <w:pStyle w:val="13"/>
            </w:pPr>
            <w:r>
              <w:t>归侨侨眷慰问金发放合规人数占发放总数比例</w:t>
            </w:r>
          </w:p>
        </w:tc>
        <w:tc>
          <w:tcPr>
            <w:tcW w:w="2268" w:type="dxa"/>
            <w:vAlign w:val="center"/>
          </w:tcPr>
          <w:p>
            <w:pPr>
              <w:pStyle w:val="13"/>
            </w:pPr>
            <w:r>
              <w:t>100%</w:t>
            </w:r>
          </w:p>
        </w:tc>
        <w:tc>
          <w:tcPr>
            <w:tcW w:w="1276" w:type="dxa"/>
            <w:vAlign w:val="center"/>
          </w:tcPr>
          <w:p>
            <w:pPr>
              <w:pStyle w:val="13"/>
            </w:pPr>
            <w:r>
              <w:t>《河北省侨联关于加强华侨事务预算专项经费使用管理的实施意见》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归侨侨眷特殊群体关怀照顾金发放时间</w:t>
            </w:r>
          </w:p>
        </w:tc>
        <w:tc>
          <w:tcPr>
            <w:tcW w:w="5386" w:type="dxa"/>
            <w:vAlign w:val="center"/>
          </w:tcPr>
          <w:p>
            <w:pPr>
              <w:pStyle w:val="13"/>
            </w:pPr>
            <w:r>
              <w:t>归侨侨眷特殊群体关怀照顾金发放时间</w:t>
            </w:r>
          </w:p>
        </w:tc>
        <w:tc>
          <w:tcPr>
            <w:tcW w:w="2268" w:type="dxa"/>
            <w:vAlign w:val="center"/>
          </w:tcPr>
          <w:p>
            <w:pPr>
              <w:pStyle w:val="13"/>
            </w:pPr>
            <w:r>
              <w:t>预计10月底前发放完毕</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归侨侨眷特殊群体关怀照顾金发放标准</w:t>
            </w:r>
          </w:p>
        </w:tc>
        <w:tc>
          <w:tcPr>
            <w:tcW w:w="5386" w:type="dxa"/>
            <w:vAlign w:val="center"/>
          </w:tcPr>
          <w:p>
            <w:pPr>
              <w:pStyle w:val="13"/>
            </w:pPr>
            <w:r>
              <w:t>归侨侨眷特殊群体关怀照顾金发放标准</w:t>
            </w:r>
          </w:p>
        </w:tc>
        <w:tc>
          <w:tcPr>
            <w:tcW w:w="2268" w:type="dxa"/>
            <w:vAlign w:val="center"/>
          </w:tcPr>
          <w:p>
            <w:pPr>
              <w:pStyle w:val="13"/>
            </w:pPr>
            <w:r>
              <w:t>100%</w:t>
            </w:r>
          </w:p>
        </w:tc>
        <w:tc>
          <w:tcPr>
            <w:tcW w:w="1276" w:type="dxa"/>
            <w:vAlign w:val="center"/>
          </w:tcPr>
          <w:p>
            <w:pPr>
              <w:pStyle w:val="13"/>
            </w:pPr>
            <w:r>
              <w:t>《河北省侨联关于加强华侨事务预算专项经费使用管理的实施意见》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为侨服务活动项目数量</w:t>
            </w:r>
          </w:p>
        </w:tc>
        <w:tc>
          <w:tcPr>
            <w:tcW w:w="5386" w:type="dxa"/>
            <w:vAlign w:val="center"/>
          </w:tcPr>
          <w:p>
            <w:pPr>
              <w:pStyle w:val="13"/>
            </w:pPr>
            <w:r>
              <w:t>为侨服务活动项目数量</w:t>
            </w:r>
          </w:p>
        </w:tc>
        <w:tc>
          <w:tcPr>
            <w:tcW w:w="2268" w:type="dxa"/>
            <w:vAlign w:val="center"/>
          </w:tcPr>
          <w:p>
            <w:pPr>
              <w:pStyle w:val="13"/>
            </w:pPr>
            <w:r>
              <w:t>15次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为侨服务活动任务完成率</w:t>
            </w:r>
          </w:p>
        </w:tc>
        <w:tc>
          <w:tcPr>
            <w:tcW w:w="5386" w:type="dxa"/>
            <w:vAlign w:val="center"/>
          </w:tcPr>
          <w:p>
            <w:pPr>
              <w:pStyle w:val="13"/>
            </w:pPr>
            <w:r>
              <w:t>为侨服务活动任务完成率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为侨服务活动项目完成时间</w:t>
            </w:r>
          </w:p>
        </w:tc>
        <w:tc>
          <w:tcPr>
            <w:tcW w:w="5386" w:type="dxa"/>
            <w:vAlign w:val="center"/>
          </w:tcPr>
          <w:p>
            <w:pPr>
              <w:pStyle w:val="13"/>
            </w:pPr>
            <w:r>
              <w:t>为侨服务活动项目完成时间</w:t>
            </w:r>
          </w:p>
        </w:tc>
        <w:tc>
          <w:tcPr>
            <w:tcW w:w="2268" w:type="dxa"/>
            <w:vAlign w:val="center"/>
          </w:tcPr>
          <w:p>
            <w:pPr>
              <w:pStyle w:val="13"/>
            </w:pPr>
            <w:r>
              <w:t>预计11月底前全部完成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开展为侨服务活动项目经费支出标准</w:t>
            </w:r>
          </w:p>
        </w:tc>
        <w:tc>
          <w:tcPr>
            <w:tcW w:w="5386" w:type="dxa"/>
            <w:vAlign w:val="center"/>
          </w:tcPr>
          <w:p>
            <w:pPr>
              <w:pStyle w:val="13"/>
            </w:pPr>
            <w:r>
              <w:t>开展为侨服务活动项目经费支出标准</w:t>
            </w:r>
          </w:p>
        </w:tc>
        <w:tc>
          <w:tcPr>
            <w:tcW w:w="2268" w:type="dxa"/>
            <w:vAlign w:val="center"/>
          </w:tcPr>
          <w:p>
            <w:pPr>
              <w:pStyle w:val="13"/>
            </w:pPr>
            <w:r>
              <w:t>每个活动项目不超过5000元</w:t>
            </w:r>
          </w:p>
        </w:tc>
        <w:tc>
          <w:tcPr>
            <w:tcW w:w="1276" w:type="dxa"/>
            <w:vAlign w:val="center"/>
          </w:tcPr>
          <w:p>
            <w:pPr>
              <w:pStyle w:val="13"/>
            </w:pPr>
            <w:r>
              <w:t>《河北省侨联关于加强华侨事务预算专项经费使用管理的实施意见》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基层侨联干部培训次数</w:t>
            </w:r>
          </w:p>
        </w:tc>
        <w:tc>
          <w:tcPr>
            <w:tcW w:w="5386" w:type="dxa"/>
            <w:vAlign w:val="center"/>
          </w:tcPr>
          <w:p>
            <w:pPr>
              <w:pStyle w:val="13"/>
            </w:pPr>
            <w:r>
              <w:t>基层侨联干部培训次数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基层侨联干部培训任务完成率</w:t>
            </w:r>
          </w:p>
        </w:tc>
        <w:tc>
          <w:tcPr>
            <w:tcW w:w="5386" w:type="dxa"/>
            <w:vAlign w:val="center"/>
          </w:tcPr>
          <w:p>
            <w:pPr>
              <w:pStyle w:val="13"/>
            </w:pPr>
            <w:r>
              <w:t>基层侨联干部培训任务完成率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基层侨联干部培训完成时间</w:t>
            </w:r>
          </w:p>
        </w:tc>
        <w:tc>
          <w:tcPr>
            <w:tcW w:w="5386" w:type="dxa"/>
            <w:vAlign w:val="center"/>
          </w:tcPr>
          <w:p>
            <w:pPr>
              <w:pStyle w:val="13"/>
            </w:pPr>
            <w:r>
              <w:t>基层侨联干部培训完成时间</w:t>
            </w:r>
          </w:p>
        </w:tc>
        <w:tc>
          <w:tcPr>
            <w:tcW w:w="2268" w:type="dxa"/>
            <w:vAlign w:val="center"/>
          </w:tcPr>
          <w:p>
            <w:pPr>
              <w:pStyle w:val="13"/>
            </w:pPr>
            <w:r>
              <w:t>预计9月底前完成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基层侨联干部培训支出标准</w:t>
            </w:r>
          </w:p>
        </w:tc>
        <w:tc>
          <w:tcPr>
            <w:tcW w:w="5386" w:type="dxa"/>
            <w:vAlign w:val="center"/>
          </w:tcPr>
          <w:p>
            <w:pPr>
              <w:pStyle w:val="13"/>
            </w:pPr>
            <w:r>
              <w:t>基层侨联干部培训人均支出标准</w:t>
            </w:r>
          </w:p>
        </w:tc>
        <w:tc>
          <w:tcPr>
            <w:tcW w:w="2268" w:type="dxa"/>
            <w:vAlign w:val="center"/>
          </w:tcPr>
          <w:p>
            <w:pPr>
              <w:pStyle w:val="13"/>
            </w:pPr>
            <w:r>
              <w:t>≤2000元</w:t>
            </w:r>
          </w:p>
        </w:tc>
        <w:tc>
          <w:tcPr>
            <w:tcW w:w="1276" w:type="dxa"/>
            <w:vAlign w:val="center"/>
          </w:tcPr>
          <w:p>
            <w:pPr>
              <w:pStyle w:val="13"/>
            </w:pPr>
            <w:r>
              <w:t>《沧州市培训费管理办法》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团结凝聚侨心，服务沧州市发展</w:t>
            </w:r>
          </w:p>
        </w:tc>
        <w:tc>
          <w:tcPr>
            <w:tcW w:w="5386" w:type="dxa"/>
            <w:vAlign w:val="center"/>
          </w:tcPr>
          <w:p>
            <w:pPr>
              <w:pStyle w:val="13"/>
            </w:pPr>
            <w:r>
              <w:t xml:space="preserve"> 团结凝聚侨心，服务沧州市发展</w:t>
            </w:r>
          </w:p>
        </w:tc>
        <w:tc>
          <w:tcPr>
            <w:tcW w:w="2268" w:type="dxa"/>
            <w:vAlign w:val="center"/>
          </w:tcPr>
          <w:p>
            <w:pPr>
              <w:pStyle w:val="13"/>
            </w:pPr>
            <w:r>
              <w:t>通过慰问关怀和开展为侨服务活动等，团结争取侨心，配合支持对外工作，服务沧州市高质量发展</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侨界群众更满意度</w:t>
            </w:r>
          </w:p>
        </w:tc>
        <w:tc>
          <w:tcPr>
            <w:tcW w:w="5386" w:type="dxa"/>
            <w:vAlign w:val="center"/>
          </w:tcPr>
          <w:p>
            <w:pPr>
              <w:pStyle w:val="13"/>
            </w:pPr>
            <w:r>
              <w:t>侨界群众更满意度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291沧州市归国华侨联合会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沧州市归国华侨联合会（含所属单位）上年末固定资产金额为32.50万元（详见下表）。本年度拟购置固定资产总额为0.00万元，已按要求列入政府采购预算，详见政府采购预算表。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291沧州市归国华侨联合会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91</w:t>
            </w:r>
          </w:p>
        </w:tc>
        <w:tc>
          <w:tcPr>
            <w:tcW w:w="2835" w:type="dxa"/>
            <w:vAlign w:val="center"/>
          </w:tcPr>
          <w:p>
            <w:pPr>
              <w:pStyle w:val="12"/>
            </w:pPr>
            <w:r>
              <w:t>23.00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2E5MzQ2MjE5OGEwNjViMDAzZTcyOGY5YWRmN2YifQ=="/>
  </w:docVars>
  <w:rsids>
    <w:rsidRoot w:val="00000000"/>
    <w:rsid w:val="14EA1CE0"/>
    <w:rsid w:val="7C403F9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8677</Words>
  <Characters>9830</Characters>
  <TotalTime>2</TotalTime>
  <ScaleCrop>false</ScaleCrop>
  <LinksUpToDate>false</LinksUpToDate>
  <CharactersWithSpaces>10007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2025-02-11T09:38:00Z</dcterms:created>
  <dc:creator>lenovo</dc:creator>
  <cp:lastModifiedBy>嗷喵喵</cp:lastModifiedBy>
  <dcterms:modified xsi:type="dcterms:W3CDTF">2025-02-11T01:58:10Z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CFA8014F70F3428EBE408DF3DB5ACB8E_13</vt:lpwstr>
  </property>
</Properties>
</file>